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3C" w:rsidRPr="00AD554C" w:rsidRDefault="0094563C" w:rsidP="0094563C">
      <w:pPr>
        <w:jc w:val="right"/>
        <w:rPr>
          <w:rFonts w:ascii="Times New Roman" w:hAnsi="Times New Roman"/>
          <w:b/>
          <w:snapToGrid w:val="0"/>
        </w:rPr>
      </w:pPr>
      <w:r w:rsidRPr="00AD554C">
        <w:rPr>
          <w:rFonts w:ascii="Times New Roman" w:hAnsi="Times New Roman"/>
          <w:b/>
          <w:snapToGrid w:val="0"/>
        </w:rPr>
        <w:t>Приложение 21</w:t>
      </w:r>
    </w:p>
    <w:p w:rsidR="0094563C" w:rsidRPr="00AD554C" w:rsidRDefault="0094563C" w:rsidP="0094563C">
      <w:pPr>
        <w:jc w:val="right"/>
        <w:rPr>
          <w:rFonts w:ascii="Times New Roman" w:hAnsi="Times New Roman"/>
          <w:b/>
          <w:snapToGrid w:val="0"/>
        </w:rPr>
      </w:pPr>
      <w:r w:rsidRPr="00AD554C">
        <w:rPr>
          <w:rFonts w:ascii="Times New Roman" w:hAnsi="Times New Roman"/>
          <w:b/>
          <w:snapToGrid w:val="0"/>
        </w:rPr>
        <w:tab/>
      </w:r>
      <w:r w:rsidRPr="00AD554C">
        <w:rPr>
          <w:rFonts w:ascii="Times New Roman" w:hAnsi="Times New Roman"/>
          <w:b/>
          <w:snapToGrid w:val="0"/>
        </w:rPr>
        <w:tab/>
      </w:r>
      <w:r w:rsidRPr="00AD554C">
        <w:rPr>
          <w:rFonts w:ascii="Times New Roman" w:hAnsi="Times New Roman"/>
          <w:b/>
          <w:snapToGrid w:val="0"/>
        </w:rPr>
        <w:tab/>
      </w:r>
      <w:r w:rsidRPr="00AD554C">
        <w:rPr>
          <w:rFonts w:ascii="Times New Roman" w:hAnsi="Times New Roman"/>
          <w:b/>
          <w:snapToGrid w:val="0"/>
        </w:rPr>
        <w:tab/>
      </w:r>
      <w:r w:rsidRPr="00AD554C">
        <w:rPr>
          <w:rFonts w:ascii="Times New Roman" w:hAnsi="Times New Roman"/>
          <w:b/>
          <w:snapToGrid w:val="0"/>
        </w:rPr>
        <w:tab/>
      </w:r>
      <w:r w:rsidRPr="00AD554C">
        <w:rPr>
          <w:rFonts w:ascii="Times New Roman" w:hAnsi="Times New Roman"/>
          <w:b/>
          <w:snapToGrid w:val="0"/>
        </w:rPr>
        <w:tab/>
      </w:r>
      <w:r w:rsidRPr="00AD554C">
        <w:rPr>
          <w:rFonts w:ascii="Times New Roman" w:hAnsi="Times New Roman"/>
          <w:b/>
          <w:snapToGrid w:val="0"/>
        </w:rPr>
        <w:tab/>
        <w:t xml:space="preserve">  к Правилам страхования</w:t>
      </w:r>
    </w:p>
    <w:p w:rsidR="0094563C" w:rsidRPr="00AD554C" w:rsidRDefault="0094563C" w:rsidP="0094563C">
      <w:pPr>
        <w:jc w:val="right"/>
        <w:rPr>
          <w:rFonts w:ascii="Times New Roman" w:hAnsi="Times New Roman"/>
          <w:b/>
          <w:snapToGrid w:val="0"/>
        </w:rPr>
      </w:pPr>
      <w:r w:rsidRPr="00AD554C">
        <w:rPr>
          <w:rFonts w:ascii="Times New Roman" w:hAnsi="Times New Roman"/>
          <w:b/>
          <w:snapToGrid w:val="0"/>
        </w:rPr>
        <w:t xml:space="preserve"> воздушных судов</w:t>
      </w:r>
    </w:p>
    <w:p w:rsidR="0094563C" w:rsidRPr="00AD554C" w:rsidRDefault="0094563C" w:rsidP="0094563C">
      <w:pPr>
        <w:ind w:left="720"/>
        <w:jc w:val="both"/>
        <w:rPr>
          <w:rFonts w:ascii="Times New Roman" w:hAnsi="Times New Roman"/>
          <w:b/>
          <w:snapToGrid w:val="0"/>
          <w:u w:val="single"/>
        </w:rPr>
      </w:pPr>
      <w:r w:rsidRPr="00AD554C">
        <w:rPr>
          <w:rFonts w:ascii="Times New Roman" w:hAnsi="Times New Roman"/>
          <w:b/>
          <w:snapToGrid w:val="0"/>
        </w:rPr>
        <w:tab/>
      </w:r>
      <w:r w:rsidRPr="00AD554C">
        <w:rPr>
          <w:rFonts w:ascii="Times New Roman" w:hAnsi="Times New Roman"/>
          <w:b/>
          <w:snapToGrid w:val="0"/>
        </w:rPr>
        <w:tab/>
      </w:r>
      <w:r w:rsidRPr="00AD554C">
        <w:rPr>
          <w:rFonts w:ascii="Times New Roman" w:hAnsi="Times New Roman"/>
          <w:b/>
          <w:snapToGrid w:val="0"/>
        </w:rPr>
        <w:tab/>
      </w:r>
      <w:r w:rsidRPr="00AD554C">
        <w:rPr>
          <w:rFonts w:ascii="Times New Roman" w:hAnsi="Times New Roman"/>
          <w:b/>
          <w:snapToGrid w:val="0"/>
        </w:rPr>
        <w:tab/>
      </w:r>
      <w:r w:rsidRPr="00AD554C">
        <w:rPr>
          <w:rFonts w:ascii="Times New Roman" w:hAnsi="Times New Roman"/>
          <w:b/>
          <w:snapToGrid w:val="0"/>
        </w:rPr>
        <w:tab/>
      </w:r>
      <w:r w:rsidRPr="00AD554C">
        <w:rPr>
          <w:rFonts w:ascii="Times New Roman" w:hAnsi="Times New Roman"/>
          <w:b/>
          <w:snapToGrid w:val="0"/>
        </w:rPr>
        <w:tab/>
      </w:r>
      <w:r w:rsidRPr="00AD554C">
        <w:rPr>
          <w:rFonts w:ascii="Times New Roman" w:hAnsi="Times New Roman"/>
          <w:b/>
          <w:snapToGrid w:val="0"/>
        </w:rPr>
        <w:tab/>
      </w:r>
      <w:r w:rsidRPr="00AD554C">
        <w:rPr>
          <w:rFonts w:ascii="Times New Roman" w:hAnsi="Times New Roman"/>
          <w:b/>
          <w:snapToGrid w:val="0"/>
        </w:rPr>
        <w:tab/>
      </w:r>
      <w:r w:rsidRPr="00AD554C">
        <w:rPr>
          <w:rFonts w:ascii="Times New Roman" w:hAnsi="Times New Roman"/>
          <w:b/>
          <w:snapToGrid w:val="0"/>
        </w:rPr>
        <w:tab/>
      </w:r>
    </w:p>
    <w:p w:rsidR="0094563C" w:rsidRPr="00AD554C" w:rsidRDefault="0094563C" w:rsidP="0094563C">
      <w:pPr>
        <w:rPr>
          <w:rFonts w:ascii="Times New Roman" w:hAnsi="Times New Roman"/>
        </w:rPr>
      </w:pPr>
    </w:p>
    <w:p w:rsidR="0094563C" w:rsidRPr="00AD554C" w:rsidRDefault="0094563C" w:rsidP="0094563C">
      <w:pPr>
        <w:pStyle w:val="1"/>
        <w:keepNext w:val="0"/>
        <w:jc w:val="center"/>
        <w:rPr>
          <w:rFonts w:ascii="Times New Roman" w:hAnsi="Times New Roman"/>
          <w:sz w:val="22"/>
          <w:szCs w:val="22"/>
        </w:rPr>
      </w:pPr>
      <w:r w:rsidRPr="00AD554C">
        <w:rPr>
          <w:rFonts w:ascii="Times New Roman" w:hAnsi="Times New Roman"/>
          <w:sz w:val="22"/>
          <w:szCs w:val="22"/>
        </w:rPr>
        <w:t>БАЗОВЫЕ ТАРИФНЫЕ СТАВКИ</w:t>
      </w:r>
    </w:p>
    <w:p w:rsidR="0094563C" w:rsidRPr="00AD554C" w:rsidRDefault="0094563C" w:rsidP="0094563C">
      <w:pPr>
        <w:jc w:val="center"/>
        <w:rPr>
          <w:rFonts w:ascii="Times New Roman" w:hAnsi="Times New Roman"/>
          <w:snapToGrid w:val="0"/>
        </w:rPr>
      </w:pPr>
      <w:r w:rsidRPr="00AD554C">
        <w:rPr>
          <w:rFonts w:ascii="Times New Roman" w:hAnsi="Times New Roman"/>
          <w:snapToGrid w:val="0"/>
        </w:rPr>
        <w:t>( в %  к страховой сумме, со сроком страхования – один год, на одно воздушное судно )</w:t>
      </w:r>
    </w:p>
    <w:p w:rsidR="0094563C" w:rsidRPr="00AD554C" w:rsidRDefault="0094563C" w:rsidP="0094563C">
      <w:pPr>
        <w:spacing w:line="240" w:lineRule="atLeast"/>
        <w:jc w:val="center"/>
        <w:rPr>
          <w:rFonts w:ascii="Times New Roman" w:hAnsi="Times New Roman"/>
        </w:rPr>
      </w:pPr>
    </w:p>
    <w:p w:rsidR="0094563C" w:rsidRPr="00AD554C" w:rsidRDefault="0094563C" w:rsidP="0094563C">
      <w:pPr>
        <w:suppressAutoHyphens/>
        <w:autoSpaceDE w:val="0"/>
        <w:autoSpaceDN w:val="0"/>
        <w:adjustRightInd w:val="0"/>
        <w:ind w:firstLine="550"/>
        <w:jc w:val="both"/>
        <w:rPr>
          <w:rFonts w:ascii="Times New Roman" w:hAnsi="Times New Roman"/>
        </w:rPr>
      </w:pPr>
    </w:p>
    <w:p w:rsidR="0094563C" w:rsidRPr="00AD554C" w:rsidRDefault="0094563C" w:rsidP="0094563C">
      <w:pPr>
        <w:suppressAutoHyphens/>
        <w:autoSpaceDE w:val="0"/>
        <w:autoSpaceDN w:val="0"/>
        <w:adjustRightInd w:val="0"/>
        <w:ind w:firstLine="550"/>
        <w:jc w:val="both"/>
        <w:rPr>
          <w:rFonts w:ascii="Times New Roman" w:hAnsi="Times New Roman"/>
          <w:b/>
        </w:rPr>
      </w:pPr>
      <w:r w:rsidRPr="00AD554C">
        <w:rPr>
          <w:rFonts w:ascii="Times New Roman" w:hAnsi="Times New Roman"/>
          <w:b/>
          <w:bCs/>
        </w:rPr>
        <w:t>1. СТРАХОВАНИЕ ВОЗДУШНЫХ СУДОВ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701"/>
      </w:tblGrid>
      <w:tr w:rsidR="0094563C" w:rsidRPr="00AD554C" w:rsidTr="009814D2">
        <w:tc>
          <w:tcPr>
            <w:tcW w:w="7905" w:type="dxa"/>
          </w:tcPr>
          <w:p w:rsidR="0094563C" w:rsidRPr="00AD554C" w:rsidRDefault="0094563C" w:rsidP="0098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</w:rPr>
              <w:t>С Т Р А Х О В Ы Е  Р И С К И</w:t>
            </w:r>
          </w:p>
        </w:tc>
        <w:tc>
          <w:tcPr>
            <w:tcW w:w="1701" w:type="dxa"/>
          </w:tcPr>
          <w:p w:rsidR="0094563C" w:rsidRPr="00AD554C" w:rsidRDefault="0094563C" w:rsidP="0098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</w:rPr>
              <w:t>ТАРИФНЫЕ</w:t>
            </w:r>
          </w:p>
          <w:p w:rsidR="0094563C" w:rsidRPr="00AD554C" w:rsidRDefault="0094563C" w:rsidP="0098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</w:rPr>
              <w:t>СТАВКИ</w:t>
            </w:r>
          </w:p>
        </w:tc>
      </w:tr>
      <w:tr w:rsidR="0094563C" w:rsidRPr="00AD554C" w:rsidTr="009814D2">
        <w:tc>
          <w:tcPr>
            <w:tcW w:w="7905" w:type="dxa"/>
          </w:tcPr>
          <w:p w:rsidR="0094563C" w:rsidRPr="00AD554C" w:rsidRDefault="0094563C" w:rsidP="009814D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</w:rPr>
              <w:t>Гибель (действительная полная гибель или конструктивная полная гибель)</w:t>
            </w:r>
          </w:p>
          <w:p w:rsidR="0094563C" w:rsidRPr="00AD554C" w:rsidRDefault="0094563C" w:rsidP="009814D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</w:rPr>
              <w:t>застрахованного воздушного судна</w:t>
            </w:r>
          </w:p>
        </w:tc>
        <w:tc>
          <w:tcPr>
            <w:tcW w:w="1701" w:type="dxa"/>
          </w:tcPr>
          <w:p w:rsidR="0094563C" w:rsidRPr="00AD554C" w:rsidRDefault="0094563C" w:rsidP="0098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</w:rPr>
              <w:t>0,16</w:t>
            </w:r>
          </w:p>
        </w:tc>
      </w:tr>
      <w:tr w:rsidR="0094563C" w:rsidRPr="00AD554C" w:rsidTr="009814D2">
        <w:tc>
          <w:tcPr>
            <w:tcW w:w="7905" w:type="dxa"/>
          </w:tcPr>
          <w:p w:rsidR="0094563C" w:rsidRPr="00AD554C" w:rsidRDefault="0094563C" w:rsidP="009814D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</w:rPr>
              <w:t>Пропажа без вести застрахованного воздушного судна</w:t>
            </w:r>
          </w:p>
        </w:tc>
        <w:tc>
          <w:tcPr>
            <w:tcW w:w="1701" w:type="dxa"/>
          </w:tcPr>
          <w:p w:rsidR="0094563C" w:rsidRPr="00AD554C" w:rsidRDefault="0094563C" w:rsidP="0098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</w:rPr>
              <w:t>0,21</w:t>
            </w:r>
          </w:p>
        </w:tc>
      </w:tr>
      <w:tr w:rsidR="0094563C" w:rsidRPr="00AD554C" w:rsidTr="009814D2">
        <w:tc>
          <w:tcPr>
            <w:tcW w:w="7905" w:type="dxa"/>
          </w:tcPr>
          <w:p w:rsidR="0094563C" w:rsidRPr="00AD554C" w:rsidRDefault="0094563C" w:rsidP="009814D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</w:rPr>
              <w:t>Повреждение застрахованного воздушного судна</w:t>
            </w:r>
          </w:p>
        </w:tc>
        <w:tc>
          <w:tcPr>
            <w:tcW w:w="1701" w:type="dxa"/>
          </w:tcPr>
          <w:p w:rsidR="0094563C" w:rsidRPr="00AD554C" w:rsidRDefault="0094563C" w:rsidP="0098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</w:rPr>
              <w:t>0,27</w:t>
            </w:r>
          </w:p>
        </w:tc>
      </w:tr>
      <w:tr w:rsidR="0094563C" w:rsidRPr="00AD554C" w:rsidTr="009814D2">
        <w:tc>
          <w:tcPr>
            <w:tcW w:w="7905" w:type="dxa"/>
          </w:tcPr>
          <w:p w:rsidR="0094563C" w:rsidRPr="00AD554C" w:rsidRDefault="0094563C" w:rsidP="009814D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  <w:snapToGrid w:val="0"/>
              </w:rPr>
              <w:t>Гибель, утрата, повреждение застрахованных запасных частей воздушного судна</w:t>
            </w:r>
          </w:p>
        </w:tc>
        <w:tc>
          <w:tcPr>
            <w:tcW w:w="1701" w:type="dxa"/>
          </w:tcPr>
          <w:p w:rsidR="0094563C" w:rsidRPr="00AD554C" w:rsidRDefault="0094563C" w:rsidP="0098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</w:rPr>
              <w:t>0,49</w:t>
            </w:r>
          </w:p>
        </w:tc>
      </w:tr>
      <w:tr w:rsidR="0094563C" w:rsidRPr="00AD554C" w:rsidTr="009814D2">
        <w:tc>
          <w:tcPr>
            <w:tcW w:w="7905" w:type="dxa"/>
          </w:tcPr>
          <w:p w:rsidR="0094563C" w:rsidRPr="00AD554C" w:rsidRDefault="0094563C" w:rsidP="009814D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</w:rPr>
              <w:t>Гибель, утрата, повреждение застрахованного дополнительного</w:t>
            </w:r>
          </w:p>
          <w:p w:rsidR="0094563C" w:rsidRPr="00AD554C" w:rsidRDefault="0094563C" w:rsidP="009814D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</w:rPr>
              <w:t>оборудования</w:t>
            </w:r>
          </w:p>
        </w:tc>
        <w:tc>
          <w:tcPr>
            <w:tcW w:w="1701" w:type="dxa"/>
          </w:tcPr>
          <w:p w:rsidR="0094563C" w:rsidRPr="00AD554C" w:rsidRDefault="0094563C" w:rsidP="0098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</w:rPr>
              <w:t>1,13</w:t>
            </w:r>
          </w:p>
        </w:tc>
      </w:tr>
      <w:tr w:rsidR="0094563C" w:rsidRPr="00AD554C" w:rsidTr="009814D2">
        <w:tc>
          <w:tcPr>
            <w:tcW w:w="7905" w:type="dxa"/>
          </w:tcPr>
          <w:p w:rsidR="0094563C" w:rsidRPr="00AD554C" w:rsidRDefault="0094563C" w:rsidP="009814D2">
            <w:pPr>
              <w:autoSpaceDE w:val="0"/>
              <w:autoSpaceDN w:val="0"/>
              <w:adjustRightInd w:val="0"/>
              <w:rPr>
                <w:rFonts w:ascii="Times New Roman" w:hAnsi="Times New Roman"/>
                <w:smallCaps/>
              </w:rPr>
            </w:pPr>
            <w:r w:rsidRPr="00AD554C">
              <w:rPr>
                <w:rFonts w:ascii="Times New Roman" w:hAnsi="Times New Roman"/>
              </w:rPr>
              <w:t>Страхование от военных рисков, риска угона и иных опасностей</w:t>
            </w:r>
          </w:p>
        </w:tc>
        <w:tc>
          <w:tcPr>
            <w:tcW w:w="1701" w:type="dxa"/>
          </w:tcPr>
          <w:p w:rsidR="0094563C" w:rsidRPr="00AD554C" w:rsidRDefault="0094563C" w:rsidP="0098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</w:rPr>
              <w:t>0,045</w:t>
            </w:r>
          </w:p>
        </w:tc>
      </w:tr>
    </w:tbl>
    <w:p w:rsidR="0094563C" w:rsidRPr="00AD554C" w:rsidRDefault="0094563C" w:rsidP="0094563C">
      <w:pPr>
        <w:suppressAutoHyphens/>
        <w:autoSpaceDE w:val="0"/>
        <w:autoSpaceDN w:val="0"/>
        <w:adjustRightInd w:val="0"/>
        <w:ind w:firstLine="550"/>
        <w:jc w:val="both"/>
        <w:rPr>
          <w:rFonts w:ascii="Times New Roman" w:hAnsi="Times New Roman"/>
          <w:bCs/>
        </w:rPr>
      </w:pPr>
    </w:p>
    <w:p w:rsidR="0094563C" w:rsidRPr="00AD554C" w:rsidRDefault="0094563C" w:rsidP="0094563C">
      <w:pPr>
        <w:suppressAutoHyphens/>
        <w:autoSpaceDE w:val="0"/>
        <w:autoSpaceDN w:val="0"/>
        <w:adjustRightInd w:val="0"/>
        <w:ind w:firstLine="550"/>
        <w:jc w:val="both"/>
        <w:rPr>
          <w:rFonts w:ascii="Times New Roman" w:hAnsi="Times New Roman"/>
          <w:b/>
        </w:rPr>
      </w:pPr>
      <w:r w:rsidRPr="00AD554C">
        <w:rPr>
          <w:rFonts w:ascii="Times New Roman" w:hAnsi="Times New Roman"/>
          <w:b/>
          <w:bCs/>
        </w:rPr>
        <w:t>2. СТРАХОВАНИЕ ГРАЖДАНСКОЙ ОТВЕТСТВЕННОСТИ</w:t>
      </w:r>
    </w:p>
    <w:tbl>
      <w:tblPr>
        <w:tblW w:w="949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37"/>
        <w:gridCol w:w="1656"/>
      </w:tblGrid>
      <w:tr w:rsidR="0094563C" w:rsidRPr="00AD554C" w:rsidTr="009814D2">
        <w:trPr>
          <w:cantSplit/>
          <w:trHeight w:val="276"/>
        </w:trPr>
        <w:tc>
          <w:tcPr>
            <w:tcW w:w="7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3C" w:rsidRPr="00AD554C" w:rsidRDefault="0094563C" w:rsidP="0098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</w:rPr>
              <w:t>С Т Р А Х О В Ы Е  Р И С К И</w:t>
            </w:r>
          </w:p>
          <w:p w:rsidR="0094563C" w:rsidRPr="00AD554C" w:rsidRDefault="0094563C" w:rsidP="0098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3C" w:rsidRPr="00AD554C" w:rsidRDefault="0094563C" w:rsidP="0098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</w:rPr>
              <w:t>ТАРИФНЫЕ</w:t>
            </w:r>
          </w:p>
          <w:p w:rsidR="0094563C" w:rsidRPr="00AD554C" w:rsidRDefault="0094563C" w:rsidP="00981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</w:rPr>
              <w:t>СТАВКИ</w:t>
            </w:r>
          </w:p>
        </w:tc>
      </w:tr>
      <w:tr w:rsidR="0094563C" w:rsidRPr="00AD554C" w:rsidTr="009814D2">
        <w:trPr>
          <w:cantSplit/>
        </w:trPr>
        <w:tc>
          <w:tcPr>
            <w:tcW w:w="7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563C" w:rsidRPr="00AD554C" w:rsidRDefault="0094563C" w:rsidP="009814D2">
            <w:pPr>
              <w:jc w:val="both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  <w:snapToGrid w:val="0"/>
              </w:rPr>
              <w:t>Ответственности за причинение вреда пассажирам</w:t>
            </w:r>
            <w:r w:rsidRPr="00AD55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3C" w:rsidRPr="00AD554C" w:rsidRDefault="0094563C" w:rsidP="009814D2">
            <w:pPr>
              <w:jc w:val="center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</w:rPr>
              <w:t>0.02</w:t>
            </w:r>
          </w:p>
        </w:tc>
      </w:tr>
      <w:tr w:rsidR="0094563C" w:rsidRPr="00AD554C" w:rsidTr="009814D2">
        <w:trPr>
          <w:cantSplit/>
        </w:trPr>
        <w:tc>
          <w:tcPr>
            <w:tcW w:w="7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563C" w:rsidRPr="00AD554C" w:rsidRDefault="0094563C" w:rsidP="009814D2">
            <w:pPr>
              <w:jc w:val="both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  <w:snapToGrid w:val="0"/>
              </w:rPr>
              <w:t>Ответственности за причинение вреда грузовладельцам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3C" w:rsidRPr="00AD554C" w:rsidRDefault="0094563C" w:rsidP="009814D2">
            <w:pPr>
              <w:jc w:val="center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</w:rPr>
              <w:t>0.13</w:t>
            </w:r>
          </w:p>
        </w:tc>
      </w:tr>
      <w:tr w:rsidR="0094563C" w:rsidRPr="00AD554C" w:rsidTr="009814D2">
        <w:trPr>
          <w:cantSplit/>
          <w:trHeight w:val="226"/>
        </w:trPr>
        <w:tc>
          <w:tcPr>
            <w:tcW w:w="7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563C" w:rsidRPr="00AD554C" w:rsidRDefault="0094563C" w:rsidP="009814D2">
            <w:pPr>
              <w:jc w:val="both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  <w:snapToGrid w:val="0"/>
              </w:rPr>
              <w:t>Ответственности за причинение вреда третьим лицам</w:t>
            </w:r>
            <w:r w:rsidRPr="00AD55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3C" w:rsidRPr="00AD554C" w:rsidRDefault="0094563C" w:rsidP="009814D2">
            <w:pPr>
              <w:jc w:val="center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</w:rPr>
              <w:t>0.08</w:t>
            </w:r>
          </w:p>
        </w:tc>
      </w:tr>
      <w:tr w:rsidR="0094563C" w:rsidRPr="00AD554C" w:rsidTr="009814D2">
        <w:trPr>
          <w:cantSplit/>
          <w:trHeight w:val="226"/>
        </w:trPr>
        <w:tc>
          <w:tcPr>
            <w:tcW w:w="7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563C" w:rsidRPr="00AD554C" w:rsidRDefault="0094563C" w:rsidP="009814D2">
            <w:pPr>
              <w:jc w:val="both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</w:rPr>
              <w:t xml:space="preserve">Ответственности вследствие военных рисков, риска угона и иных опасностей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63C" w:rsidRPr="00AD554C" w:rsidRDefault="0094563C" w:rsidP="009814D2">
            <w:pPr>
              <w:jc w:val="center"/>
              <w:rPr>
                <w:rFonts w:ascii="Times New Roman" w:hAnsi="Times New Roman"/>
              </w:rPr>
            </w:pPr>
            <w:r w:rsidRPr="00AD554C">
              <w:rPr>
                <w:rFonts w:ascii="Times New Roman" w:hAnsi="Times New Roman"/>
              </w:rPr>
              <w:t>0,012</w:t>
            </w:r>
          </w:p>
        </w:tc>
      </w:tr>
    </w:tbl>
    <w:p w:rsidR="0094563C" w:rsidRPr="00AD554C" w:rsidRDefault="0094563C" w:rsidP="0094563C">
      <w:pPr>
        <w:suppressAutoHyphens/>
        <w:autoSpaceDE w:val="0"/>
        <w:autoSpaceDN w:val="0"/>
        <w:adjustRightInd w:val="0"/>
        <w:ind w:firstLine="550"/>
        <w:jc w:val="both"/>
        <w:rPr>
          <w:rFonts w:ascii="Times New Roman" w:hAnsi="Times New Roman"/>
        </w:rPr>
      </w:pPr>
    </w:p>
    <w:p w:rsidR="0094563C" w:rsidRPr="00AD554C" w:rsidRDefault="0094563C" w:rsidP="0094563C">
      <w:pPr>
        <w:suppressAutoHyphens/>
        <w:autoSpaceDE w:val="0"/>
        <w:autoSpaceDN w:val="0"/>
        <w:adjustRightInd w:val="0"/>
        <w:ind w:firstLine="550"/>
        <w:jc w:val="both"/>
        <w:rPr>
          <w:rFonts w:ascii="Times New Roman" w:hAnsi="Times New Roman"/>
        </w:rPr>
      </w:pPr>
      <w:r w:rsidRPr="00AD554C">
        <w:rPr>
          <w:rFonts w:ascii="Times New Roman" w:hAnsi="Times New Roman"/>
        </w:rPr>
        <w:lastRenderedPageBreak/>
        <w:t>При заключении конкретного договора страхования Страховщик имеет право применять к базовым тарифным ставкам повышающие и понижающие коэффициенты в зависимости от следующих факторов риска :   тип,  состояние и год выпуска воздушного судна (повышающие от 1,01 до 5,0 и понижающие от 0,1 до 0,99), интенсивность использования воздушных судов (и/или количество полетов)   (повышающие от 1,3 до 5,0 и понижающие от 0,6 до 0,99), объем воздушных перевозок,  количество перевозимых пассажиров (повышающие от 1,2 до 5,0 и понижающие от 0,7 до 0,99), состояние систем контроля и безопасности полетов (повышающие от 1,01 до 5,0 и понижающие от 0,1 до 0,99), уровень организации  воздушного движения (повышающие от 1,01 до 5,0 и понижающие от 0,1 до 0,99), срок эксплуатации  воздушного судна (повышающие от 1,01 до 5,0 и понижающие от 0,1 до 0,99),  география районов эксплуатации воздушных судов, характер полетов (повышающие от 1,01 до 5,0 и понижающие от 0,1 до 0,99), уровень квалификации летных экипажей (повышающие от 1,3 до 5,0 и понижающие от 0,5 до 0,99), объем парка воздушных судов (повышающие от 1,01 до 5,0 и понижающие от 0,1 до 0,99), срок действия лицензии на осуществление воздушных перевозок (повышающие от 1,01 до 5,0 и понижающие от 0,1 до 0,99),   наличие  (отсутствие)  у  перевозчика авиационных происшествий (страховых событий)  повлекших за  собой причинение вреда жизни или здоровью пассажира, а также гибель (утрату), недостачу или повреждение (порчу) багажа и/или вещей, находящихся при пассажире (повышающие от 1,01 до 5,0 и понижающие от 0,1 до 0,99), назначение рейсового (разового) полёта (перевозки) (повышающие от 1,01 до 5,0 и понижающие от 0,1 до 0,99), маршрут и продолжительность полёта (повышающие от 1,01 до 5,0 и понижающие от 0,1 до 0,99), количество взлётов и посадок во время данного рейсового полёта (повышающие от 1,01 до 5,0 и понижающие от 0,1 до 0,99), география места расположения базовых аэродромов (повышающие от 1,2 до 5,0 и понижающие от 0,5 до 0,99). При включении в договор особых (дополнительных)условий страхования (повышающий от 1,03 до 2).</w:t>
      </w:r>
    </w:p>
    <w:p w:rsidR="0094563C" w:rsidRPr="00AD554C" w:rsidRDefault="0094563C" w:rsidP="0094563C">
      <w:pPr>
        <w:pStyle w:val="a3"/>
        <w:ind w:left="0" w:right="57" w:firstLine="709"/>
        <w:jc w:val="both"/>
        <w:rPr>
          <w:sz w:val="22"/>
          <w:szCs w:val="22"/>
        </w:rPr>
      </w:pPr>
      <w:r w:rsidRPr="00AD554C">
        <w:rPr>
          <w:sz w:val="22"/>
          <w:szCs w:val="22"/>
        </w:rPr>
        <w:t>При определении итоговой величины тарифной ставки по конкретному договору страхования, результирующий коэффициент не может превышать 5,0 или быть меньше 0,1.</w:t>
      </w:r>
    </w:p>
    <w:p w:rsidR="0094563C" w:rsidRPr="00AD554C" w:rsidRDefault="0094563C" w:rsidP="0094563C">
      <w:pPr>
        <w:pStyle w:val="a3"/>
        <w:jc w:val="both"/>
        <w:rPr>
          <w:sz w:val="22"/>
          <w:szCs w:val="22"/>
        </w:rPr>
      </w:pPr>
    </w:p>
    <w:p w:rsidR="0094563C" w:rsidRPr="00AD554C" w:rsidRDefault="0094563C" w:rsidP="0094563C">
      <w:pPr>
        <w:tabs>
          <w:tab w:val="left" w:pos="5880"/>
        </w:tabs>
        <w:ind w:firstLine="709"/>
        <w:jc w:val="both"/>
        <w:rPr>
          <w:rFonts w:ascii="Times New Roman" w:hAnsi="Times New Roman"/>
          <w:snapToGrid w:val="0"/>
        </w:rPr>
      </w:pPr>
      <w:r w:rsidRPr="00AD554C">
        <w:rPr>
          <w:rFonts w:ascii="Times New Roman" w:hAnsi="Times New Roman"/>
          <w:snapToGrid w:val="0"/>
        </w:rPr>
        <w:t>Реальная (итоговая) тарифная ставка при заключении конкретного договора страхования получается Страховщиком путем умножения базовой тарифной ставки из настоящего Приложения на повышающий или понижающий коэффициент.</w:t>
      </w:r>
    </w:p>
    <w:p w:rsidR="0094563C" w:rsidRPr="00AD554C" w:rsidRDefault="0094563C" w:rsidP="0094563C">
      <w:pPr>
        <w:tabs>
          <w:tab w:val="left" w:pos="5880"/>
        </w:tabs>
        <w:ind w:firstLine="709"/>
        <w:jc w:val="both"/>
        <w:rPr>
          <w:rFonts w:ascii="Times New Roman" w:hAnsi="Times New Roman"/>
          <w:snapToGrid w:val="0"/>
        </w:rPr>
      </w:pPr>
      <w:r w:rsidRPr="00AD554C">
        <w:rPr>
          <w:rFonts w:ascii="Times New Roman" w:hAnsi="Times New Roman"/>
          <w:snapToGrid w:val="0"/>
        </w:rPr>
        <w:t>Конкретные значения повышающих или понижающих коэффициентов определяются Страховщиком исходя из наличия (отсутствия) факторов риска и их влияния на повышение (понижение) вероятности наступления страхового случая.</w:t>
      </w:r>
    </w:p>
    <w:p w:rsidR="004A51B8" w:rsidRPr="0094563C" w:rsidRDefault="0094563C" w:rsidP="0094563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D554C">
        <w:rPr>
          <w:rFonts w:ascii="Times New Roman" w:hAnsi="Times New Roman"/>
        </w:rPr>
        <w:t xml:space="preserve">В связи с тем, что конкретные факторы риска и обстоятельства, увеличивающие (уменьшающие) вероятность наступления страхового события, а также конкретные размеры повышающих (понижающих) коэффициентов, которые Страховщик вправе применять к базовым тарифным ставкам, могут быть выявлены (определены) только в ходе оценки Страховщиком страхового риска при заключении конкретного договора страхования, поэтому в настоящем Приложении указаны минимальные и максимальные значения повышающих и понижающих коэффициентов в определенном диапазоне их применения. Это позволяет Страховщику определить реальную тарифную ставку, учитывающую особенности объекта страхования и характер страхового риска по конкретному договору страхования, и является гарантией обеспечения его финансовой устойчивости. </w:t>
      </w:r>
    </w:p>
    <w:sectPr w:rsidR="004A51B8" w:rsidRPr="0094563C" w:rsidSect="005F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563C"/>
    <w:rsid w:val="004F685C"/>
    <w:rsid w:val="005F6424"/>
    <w:rsid w:val="0094563C"/>
    <w:rsid w:val="00D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56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6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unhideWhenUsed/>
    <w:rsid w:val="0094563C"/>
    <w:pPr>
      <w:spacing w:after="120" w:line="240" w:lineRule="auto"/>
      <w:ind w:left="283" w:firstLine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563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</dc:creator>
  <cp:lastModifiedBy>Торопов</cp:lastModifiedBy>
  <cp:revision>1</cp:revision>
  <dcterms:created xsi:type="dcterms:W3CDTF">2017-07-11T15:44:00Z</dcterms:created>
  <dcterms:modified xsi:type="dcterms:W3CDTF">2017-07-11T15:44:00Z</dcterms:modified>
</cp:coreProperties>
</file>