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66" w:rsidRPr="00215EBE" w:rsidRDefault="008C3166" w:rsidP="008C3166">
      <w:pPr>
        <w:pStyle w:val="1"/>
        <w:rPr>
          <w:sz w:val="22"/>
          <w:szCs w:val="22"/>
        </w:rPr>
      </w:pPr>
      <w:bookmarkStart w:id="0" w:name="_Toc406896838"/>
      <w:bookmarkStart w:id="1" w:name="_Toc406896984"/>
      <w:bookmarkStart w:id="2" w:name="_Toc407007111"/>
      <w:r w:rsidRPr="00215EBE">
        <w:rPr>
          <w:sz w:val="22"/>
          <w:szCs w:val="22"/>
        </w:rPr>
        <w:t>Б А З О В  Ы  Е       Т А Р И Ф Н Ы Е     С Т А В К  И</w:t>
      </w:r>
      <w:bookmarkEnd w:id="0"/>
      <w:bookmarkEnd w:id="1"/>
      <w:bookmarkEnd w:id="2"/>
    </w:p>
    <w:p w:rsidR="008C3166" w:rsidRPr="00215EBE" w:rsidRDefault="008C3166" w:rsidP="008C316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215EBE">
        <w:rPr>
          <w:snapToGrid w:val="0"/>
          <w:sz w:val="22"/>
          <w:szCs w:val="22"/>
        </w:rPr>
        <w:t>( в %  к страховой сумме, на срок страхо</w:t>
      </w:r>
      <w:r>
        <w:rPr>
          <w:snapToGrid w:val="0"/>
          <w:sz w:val="22"/>
          <w:szCs w:val="22"/>
        </w:rPr>
        <w:t>вания – один год</w:t>
      </w:r>
      <w:r w:rsidRPr="00215EBE">
        <w:rPr>
          <w:snapToGrid w:val="0"/>
          <w:sz w:val="22"/>
          <w:szCs w:val="22"/>
        </w:rPr>
        <w:t>)</w:t>
      </w:r>
    </w:p>
    <w:p w:rsidR="008C3166" w:rsidRDefault="008C3166" w:rsidP="008C3166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8C3166" w:rsidRPr="00215EBE" w:rsidRDefault="008C3166" w:rsidP="008C3166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2268"/>
      </w:tblGrid>
      <w:tr w:rsidR="008C3166" w:rsidRPr="00215EBE" w:rsidTr="009814D2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66" w:rsidRPr="006F33D6" w:rsidRDefault="008C3166" w:rsidP="009814D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33D6">
              <w:rPr>
                <w:sz w:val="20"/>
              </w:rPr>
              <w:t>С Т Р А Х О В Ы Е   Р И С К И</w:t>
            </w:r>
          </w:p>
          <w:p w:rsidR="008C3166" w:rsidRPr="00215EBE" w:rsidRDefault="008C3166" w:rsidP="009814D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66" w:rsidRPr="00215EBE" w:rsidRDefault="008C3166" w:rsidP="009814D2">
            <w:pPr>
              <w:suppressAutoHyphens/>
              <w:autoSpaceDE w:val="0"/>
              <w:autoSpaceDN w:val="0"/>
              <w:adjustRightInd w:val="0"/>
              <w:ind w:hanging="220"/>
              <w:jc w:val="center"/>
              <w:rPr>
                <w:sz w:val="22"/>
                <w:szCs w:val="22"/>
              </w:rPr>
            </w:pPr>
            <w:r w:rsidRPr="006F33D6">
              <w:rPr>
                <w:sz w:val="20"/>
              </w:rPr>
              <w:t xml:space="preserve">Т А Р И Ф Н Ы Е       </w:t>
            </w:r>
            <w:r w:rsidRPr="00215EBE">
              <w:rPr>
                <w:sz w:val="22"/>
                <w:szCs w:val="22"/>
              </w:rPr>
              <w:t xml:space="preserve">         </w:t>
            </w:r>
            <w:r w:rsidRPr="006F33D6">
              <w:rPr>
                <w:sz w:val="20"/>
              </w:rPr>
              <w:t>С Т А В К И</w:t>
            </w:r>
          </w:p>
        </w:tc>
      </w:tr>
      <w:tr w:rsidR="008C3166" w:rsidRPr="00215EBE" w:rsidTr="009814D2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66" w:rsidRDefault="008C3166" w:rsidP="009814D2">
            <w:pPr>
              <w:pStyle w:val="2"/>
              <w:rPr>
                <w:sz w:val="22"/>
                <w:szCs w:val="22"/>
              </w:rPr>
            </w:pPr>
          </w:p>
          <w:p w:rsidR="008C3166" w:rsidRPr="00215EBE" w:rsidRDefault="008C3166" w:rsidP="009814D2">
            <w:pPr>
              <w:pStyle w:val="2"/>
              <w:rPr>
                <w:sz w:val="22"/>
                <w:szCs w:val="22"/>
              </w:rPr>
            </w:pPr>
            <w:r w:rsidRPr="00215EBE">
              <w:rPr>
                <w:sz w:val="22"/>
                <w:szCs w:val="22"/>
              </w:rPr>
              <w:t xml:space="preserve">1. Условие 1. </w:t>
            </w:r>
            <w:r>
              <w:rPr>
                <w:sz w:val="22"/>
                <w:szCs w:val="22"/>
              </w:rPr>
              <w:t>«</w:t>
            </w:r>
            <w:r w:rsidRPr="00215EBE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ответственностью за полную гибель и повреждения»</w:t>
            </w:r>
          </w:p>
          <w:p w:rsidR="008C3166" w:rsidRPr="00215EBE" w:rsidRDefault="008C3166" w:rsidP="009814D2">
            <w:pPr>
              <w:tabs>
                <w:tab w:val="left" w:pos="-202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66" w:rsidRPr="00215EBE" w:rsidRDefault="008C3166" w:rsidP="009814D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3166" w:rsidRPr="00215EBE" w:rsidRDefault="008C3166" w:rsidP="009814D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5E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72</w:t>
            </w:r>
          </w:p>
        </w:tc>
      </w:tr>
      <w:tr w:rsidR="008C3166" w:rsidRPr="00215EBE" w:rsidTr="009814D2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66" w:rsidRDefault="008C3166" w:rsidP="009814D2">
            <w:pPr>
              <w:pStyle w:val="2"/>
              <w:rPr>
                <w:sz w:val="22"/>
                <w:szCs w:val="22"/>
              </w:rPr>
            </w:pPr>
          </w:p>
          <w:p w:rsidR="008C3166" w:rsidRPr="00215EBE" w:rsidRDefault="008C3166" w:rsidP="009814D2">
            <w:pPr>
              <w:pStyle w:val="2"/>
              <w:rPr>
                <w:sz w:val="22"/>
                <w:szCs w:val="22"/>
              </w:rPr>
            </w:pPr>
            <w:r w:rsidRPr="00215EBE">
              <w:rPr>
                <w:sz w:val="22"/>
                <w:szCs w:val="22"/>
              </w:rPr>
              <w:t xml:space="preserve">2. Условие 2. </w:t>
            </w:r>
            <w:r>
              <w:rPr>
                <w:sz w:val="22"/>
                <w:szCs w:val="22"/>
              </w:rPr>
              <w:t>«</w:t>
            </w:r>
            <w:r w:rsidRPr="00215EBE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ответственностью</w:t>
            </w:r>
            <w:r w:rsidRPr="00215E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повреждения»</w:t>
            </w:r>
          </w:p>
          <w:p w:rsidR="008C3166" w:rsidRPr="00215EBE" w:rsidRDefault="008C3166" w:rsidP="009814D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66" w:rsidRPr="00215EBE" w:rsidRDefault="008C3166" w:rsidP="009814D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3166" w:rsidRPr="00215EBE" w:rsidRDefault="008C3166" w:rsidP="009814D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EB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37</w:t>
            </w:r>
          </w:p>
          <w:p w:rsidR="008C3166" w:rsidRPr="00215EBE" w:rsidRDefault="008C3166" w:rsidP="009814D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C3166" w:rsidRPr="00215EBE" w:rsidTr="009814D2">
        <w:trPr>
          <w:cantSplit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66" w:rsidRDefault="008C3166" w:rsidP="009814D2">
            <w:pPr>
              <w:pStyle w:val="2"/>
              <w:rPr>
                <w:sz w:val="22"/>
                <w:szCs w:val="22"/>
              </w:rPr>
            </w:pPr>
          </w:p>
          <w:p w:rsidR="008C3166" w:rsidRPr="00215EBE" w:rsidRDefault="008C3166" w:rsidP="009814D2">
            <w:pPr>
              <w:pStyle w:val="2"/>
              <w:rPr>
                <w:sz w:val="22"/>
                <w:szCs w:val="22"/>
              </w:rPr>
            </w:pPr>
            <w:r w:rsidRPr="00CA5ED9">
              <w:rPr>
                <w:sz w:val="22"/>
                <w:szCs w:val="22"/>
              </w:rPr>
              <w:t>3</w:t>
            </w:r>
            <w:r w:rsidRPr="00215EBE">
              <w:rPr>
                <w:sz w:val="22"/>
                <w:szCs w:val="22"/>
              </w:rPr>
              <w:t xml:space="preserve">. Условие </w:t>
            </w:r>
            <w:r>
              <w:rPr>
                <w:sz w:val="22"/>
                <w:szCs w:val="22"/>
              </w:rPr>
              <w:t>3</w:t>
            </w:r>
            <w:r w:rsidRPr="00215EB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«</w:t>
            </w:r>
            <w:r w:rsidRPr="00215EBE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ответственностью</w:t>
            </w:r>
            <w:r w:rsidRPr="00215E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только за полную гибель судна»</w:t>
            </w:r>
          </w:p>
          <w:p w:rsidR="008C3166" w:rsidRPr="00215EBE" w:rsidRDefault="008C3166" w:rsidP="009814D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66" w:rsidRPr="00215EBE" w:rsidRDefault="008C3166" w:rsidP="009814D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3166" w:rsidRDefault="008C3166" w:rsidP="009814D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EB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18</w:t>
            </w:r>
          </w:p>
          <w:p w:rsidR="008C3166" w:rsidRPr="00215EBE" w:rsidRDefault="008C3166" w:rsidP="009814D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C3166" w:rsidRDefault="008C3166" w:rsidP="008C3166">
      <w:pPr>
        <w:pStyle w:val="3"/>
        <w:jc w:val="both"/>
        <w:rPr>
          <w:b w:val="0"/>
          <w:snapToGrid/>
          <w:sz w:val="22"/>
          <w:szCs w:val="22"/>
        </w:rPr>
      </w:pPr>
    </w:p>
    <w:p w:rsidR="008C3166" w:rsidRDefault="008C3166" w:rsidP="008C3166">
      <w:pPr>
        <w:pStyle w:val="3"/>
        <w:ind w:firstLine="567"/>
        <w:jc w:val="both"/>
        <w:rPr>
          <w:b w:val="0"/>
          <w:sz w:val="22"/>
          <w:szCs w:val="22"/>
        </w:rPr>
      </w:pPr>
    </w:p>
    <w:p w:rsidR="008C3166" w:rsidRDefault="008C3166" w:rsidP="008C3166">
      <w:pPr>
        <w:pStyle w:val="3"/>
        <w:ind w:firstLine="567"/>
        <w:jc w:val="both"/>
        <w:rPr>
          <w:sz w:val="22"/>
          <w:szCs w:val="22"/>
        </w:rPr>
      </w:pPr>
      <w:r w:rsidRPr="006F33D6">
        <w:rPr>
          <w:b w:val="0"/>
          <w:sz w:val="22"/>
          <w:szCs w:val="22"/>
        </w:rPr>
        <w:t>При заключении договора страхования на один рейс (разовый перегон) страховая премия уплачивается в размере не менее 25% от суммы годовой страховой премии с учётом факторов</w:t>
      </w:r>
      <w:r>
        <w:rPr>
          <w:b w:val="0"/>
          <w:sz w:val="22"/>
          <w:szCs w:val="22"/>
        </w:rPr>
        <w:t xml:space="preserve"> риска</w:t>
      </w:r>
      <w:r w:rsidRPr="006F33D6">
        <w:rPr>
          <w:b w:val="0"/>
          <w:sz w:val="22"/>
          <w:szCs w:val="22"/>
        </w:rPr>
        <w:t>.</w:t>
      </w:r>
    </w:p>
    <w:p w:rsidR="008C3166" w:rsidRPr="00855A38" w:rsidRDefault="008C3166" w:rsidP="008C3166">
      <w:pPr>
        <w:jc w:val="both"/>
        <w:rPr>
          <w:sz w:val="22"/>
          <w:szCs w:val="22"/>
        </w:rPr>
      </w:pPr>
      <w:r w:rsidRPr="00855A38">
        <w:rPr>
          <w:sz w:val="22"/>
          <w:szCs w:val="22"/>
        </w:rPr>
        <w:t>При заключении конкретного договора страхования Страховщик имеет право применять к базовым тарифным ставкам повышающие и понижающие коэффициенты в зависимости от следующих факторов риска:  год постройки судна (повышающие от 1,1 до 5,0 и понижающие от 0,5 до 0,9), назначение и тип судна (повышающие от 1,1 до 3,0 и понижающие от 0,5 до 0,9), район эксплуатации (повышающие от 1,1 до 3,0 и понижающие от 0,3 до 0,9), класс регистра (повышающие от 1,1 до 3,0 и понижающие от 0,3 до 0,9), водоизмещение судна (повышающие от 1,1 до 2,0 и понижающие от 0,5 до 0,9), наличие у оператора/судовладельца опыта эксплуатации аналогичных типов судов (повышающие от 1,1 до 3,0 и понижающие от 0,5 до 0,9).</w:t>
      </w:r>
    </w:p>
    <w:p w:rsidR="008C3166" w:rsidRPr="006F33D6" w:rsidRDefault="008C3166" w:rsidP="008C3166">
      <w:pPr>
        <w:suppressAutoHyphens/>
        <w:autoSpaceDE w:val="0"/>
        <w:autoSpaceDN w:val="0"/>
        <w:adjustRightInd w:val="0"/>
        <w:ind w:firstLine="550"/>
        <w:jc w:val="both"/>
        <w:rPr>
          <w:sz w:val="22"/>
          <w:szCs w:val="22"/>
        </w:rPr>
      </w:pPr>
      <w:r w:rsidRPr="00855A38">
        <w:rPr>
          <w:sz w:val="22"/>
          <w:szCs w:val="22"/>
        </w:rPr>
        <w:t>При определении итоговой величины тарифной ставки по конкретному</w:t>
      </w:r>
      <w:r w:rsidRPr="006F33D6">
        <w:rPr>
          <w:sz w:val="22"/>
          <w:szCs w:val="22"/>
        </w:rPr>
        <w:t xml:space="preserve"> договору страхования, результирующий коэффициент не может превышать 5,0 или быть меньше 0,1.</w:t>
      </w:r>
    </w:p>
    <w:p w:rsidR="008C3166" w:rsidRPr="00215EBE" w:rsidRDefault="008C3166" w:rsidP="008C3166">
      <w:pPr>
        <w:tabs>
          <w:tab w:val="left" w:pos="5880"/>
        </w:tabs>
        <w:ind w:firstLine="567"/>
        <w:jc w:val="both"/>
        <w:rPr>
          <w:snapToGrid w:val="0"/>
          <w:sz w:val="22"/>
          <w:szCs w:val="22"/>
        </w:rPr>
      </w:pPr>
      <w:r w:rsidRPr="00215EBE">
        <w:rPr>
          <w:snapToGrid w:val="0"/>
          <w:sz w:val="22"/>
          <w:szCs w:val="22"/>
        </w:rPr>
        <w:t>Реальная (итоговая) тарифная ставка при заключении конкретного договора страхования получается Страховщиком путем умножения базовой тарифной ставки из настоящего Приложения на повышающий или понижающий коэффициент.</w:t>
      </w:r>
    </w:p>
    <w:p w:rsidR="008C3166" w:rsidRPr="00215EBE" w:rsidRDefault="008C3166" w:rsidP="008C3166">
      <w:pPr>
        <w:tabs>
          <w:tab w:val="left" w:pos="5880"/>
        </w:tabs>
        <w:ind w:firstLine="567"/>
        <w:jc w:val="both"/>
        <w:rPr>
          <w:snapToGrid w:val="0"/>
          <w:sz w:val="22"/>
          <w:szCs w:val="22"/>
        </w:rPr>
      </w:pPr>
      <w:r w:rsidRPr="00215EBE">
        <w:rPr>
          <w:snapToGrid w:val="0"/>
          <w:sz w:val="22"/>
          <w:szCs w:val="22"/>
        </w:rPr>
        <w:t>Конкретные значения повышающих или понижающих коэффициентов определяются Страховщиком исходя из наличия (отсутствия) факторов риска и их влияния на повышение (понижение) вероятности наступления страхового случая.</w:t>
      </w:r>
    </w:p>
    <w:p w:rsidR="008C3166" w:rsidRDefault="008C3166" w:rsidP="008C3166">
      <w:pPr>
        <w:suppressAutoHyphens/>
        <w:autoSpaceDE w:val="0"/>
        <w:autoSpaceDN w:val="0"/>
        <w:adjustRightInd w:val="0"/>
        <w:ind w:firstLine="550"/>
        <w:jc w:val="both"/>
        <w:rPr>
          <w:sz w:val="22"/>
          <w:szCs w:val="22"/>
        </w:rPr>
      </w:pPr>
      <w:r>
        <w:rPr>
          <w:sz w:val="22"/>
          <w:szCs w:val="22"/>
        </w:rPr>
        <w:t>В связи с тем, что конкретные факторы риска и обстоятельства, увеличивающие (уменьшающие) вероятность наступления страхового события, а также конкретные размеры повышающих (понижающих) коэффициентов, которые Страховщик вправе применять к базовым тарифным ставкам, могут быть выявлены (определены) только в ходе оценки Страховщиком страхового риска при заключении конкретного договора страхования, поэтому в настоящем Приложении указаны минимальные и максимальные значения</w:t>
      </w:r>
      <w:r w:rsidRPr="00B34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повышающих и понижающих коэффициентов в определенном диапазоне их применения. Это позволяет Страховщику определить реальную тарифную ставку, учитывающую особенности объекта страхования и характер страхового риска по конкретному договору страхования, и является гарантией обеспечения его финансовой устойчивости. </w:t>
      </w:r>
    </w:p>
    <w:p w:rsidR="008C3166" w:rsidRDefault="008C3166" w:rsidP="008C3166">
      <w:pPr>
        <w:suppressAutoHyphens/>
        <w:autoSpaceDE w:val="0"/>
        <w:autoSpaceDN w:val="0"/>
        <w:adjustRightInd w:val="0"/>
        <w:ind w:firstLine="550"/>
        <w:jc w:val="both"/>
        <w:rPr>
          <w:sz w:val="22"/>
          <w:szCs w:val="22"/>
        </w:rPr>
      </w:pPr>
    </w:p>
    <w:p w:rsidR="008C3166" w:rsidRDefault="008C3166" w:rsidP="008C3166">
      <w:pPr>
        <w:suppressAutoHyphens/>
        <w:autoSpaceDE w:val="0"/>
        <w:autoSpaceDN w:val="0"/>
        <w:adjustRightInd w:val="0"/>
        <w:ind w:firstLine="550"/>
        <w:jc w:val="both"/>
        <w:rPr>
          <w:sz w:val="22"/>
          <w:szCs w:val="22"/>
        </w:rPr>
      </w:pPr>
      <w:r>
        <w:rPr>
          <w:sz w:val="22"/>
          <w:szCs w:val="22"/>
        </w:rPr>
        <w:t>Обоснование факторов риска и размера применённых повышающих или понижающих коэффициентов производится Страховщиком в договоре страхования.</w:t>
      </w:r>
    </w:p>
    <w:p w:rsidR="004A51B8" w:rsidRDefault="008C3166"/>
    <w:sectPr w:rsidR="004A51B8" w:rsidSect="005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3166"/>
    <w:rsid w:val="004F685C"/>
    <w:rsid w:val="005F6424"/>
    <w:rsid w:val="008C3166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6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166"/>
    <w:pPr>
      <w:keepNext/>
      <w:jc w:val="center"/>
      <w:outlineLvl w:val="0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16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8C3166"/>
    <w:pPr>
      <w:jc w:val="center"/>
    </w:pPr>
    <w:rPr>
      <w:b/>
      <w:snapToGrid w:val="0"/>
    </w:rPr>
  </w:style>
  <w:style w:type="character" w:customStyle="1" w:styleId="30">
    <w:name w:val="Основной текст с отступом 3 Знак"/>
    <w:basedOn w:val="a0"/>
    <w:link w:val="3"/>
    <w:rsid w:val="008C316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8C3166"/>
    <w:pPr>
      <w:ind w:firstLine="0"/>
      <w:jc w:val="both"/>
    </w:pPr>
  </w:style>
  <w:style w:type="character" w:customStyle="1" w:styleId="20">
    <w:name w:val="Основной текст 2 Знак"/>
    <w:basedOn w:val="a0"/>
    <w:link w:val="2"/>
    <w:rsid w:val="008C31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2017-07-11T15:40:00Z</dcterms:created>
  <dcterms:modified xsi:type="dcterms:W3CDTF">2017-07-11T15:41:00Z</dcterms:modified>
</cp:coreProperties>
</file>